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138"/>
        <w:gridCol w:w="792"/>
        <w:gridCol w:w="139"/>
        <w:gridCol w:w="5337"/>
      </w:tblGrid>
      <w:tr w:rsidR="005A78E9" w:rsidTr="005A0815">
        <w:trPr>
          <w:cantSplit/>
          <w:trHeight w:val="1552"/>
          <w:jc w:val="center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E9" w:rsidRPr="005A78E9" w:rsidRDefault="005A78E9" w:rsidP="005A78E9">
            <w:pPr>
              <w:spacing w:before="120" w:after="0"/>
              <w:rPr>
                <w:rFonts w:cs="Times New Roman"/>
                <w:b/>
                <w:sz w:val="16"/>
                <w:szCs w:val="16"/>
              </w:rPr>
            </w:pPr>
            <w:r w:rsidRPr="005A78E9">
              <w:rPr>
                <w:rFonts w:cs="Times New Roman"/>
                <w:b/>
                <w:sz w:val="16"/>
                <w:szCs w:val="16"/>
              </w:rPr>
              <w:t>Del Medico Giuseppe</w:t>
            </w:r>
            <w:r w:rsidR="00B03C0D">
              <w:rPr>
                <w:rFonts w:cs="Times New Roman"/>
                <w:b/>
                <w:sz w:val="16"/>
                <w:szCs w:val="16"/>
              </w:rPr>
              <w:t>,</w:t>
            </w:r>
            <w:r w:rsidRPr="005A78E9">
              <w:rPr>
                <w:rFonts w:cs="Times New Roman"/>
                <w:b/>
                <w:sz w:val="16"/>
                <w:szCs w:val="16"/>
              </w:rPr>
              <w:t xml:space="preserve"> componente monocratico dell’OIV </w:t>
            </w:r>
          </w:p>
          <w:p w:rsidR="005A78E9" w:rsidRPr="005A78E9" w:rsidRDefault="005A78E9" w:rsidP="005A78E9">
            <w:pPr>
              <w:spacing w:before="120" w:after="0"/>
              <w:rPr>
                <w:rFonts w:cs="Times New Roman"/>
                <w:b/>
                <w:sz w:val="16"/>
                <w:szCs w:val="16"/>
              </w:rPr>
            </w:pPr>
            <w:r w:rsidRPr="005A78E9">
              <w:rPr>
                <w:rFonts w:cs="Times New Roman"/>
                <w:b/>
                <w:sz w:val="16"/>
                <w:szCs w:val="16"/>
              </w:rPr>
              <w:t>costituitosi in forma associata delle Camere di commercio di</w:t>
            </w:r>
          </w:p>
          <w:p w:rsidR="005A78E9" w:rsidRPr="005A78E9" w:rsidRDefault="005A78E9" w:rsidP="005A78E9">
            <w:pPr>
              <w:spacing w:before="120" w:after="0"/>
              <w:rPr>
                <w:rFonts w:cs="Times New Roman"/>
                <w:b/>
                <w:sz w:val="16"/>
                <w:szCs w:val="16"/>
              </w:rPr>
            </w:pPr>
            <w:r w:rsidRPr="005A78E9">
              <w:rPr>
                <w:rFonts w:cs="Times New Roman"/>
                <w:b/>
                <w:sz w:val="16"/>
                <w:szCs w:val="16"/>
              </w:rPr>
              <w:t>Alessandria, Asti, Biella, Cuneo, Imperia, Savona, Vercelli</w:t>
            </w:r>
          </w:p>
          <w:p w:rsidR="005A78E9" w:rsidRDefault="005A78E9">
            <w:pPr>
              <w:spacing w:before="120" w:after="0" w:line="320" w:lineRule="exact"/>
              <w:rPr>
                <w:rFonts w:cs="Times New Roman"/>
              </w:rPr>
            </w:pPr>
          </w:p>
        </w:tc>
      </w:tr>
      <w:tr w:rsidR="005A78E9" w:rsidTr="005A0815">
        <w:trPr>
          <w:cantSplit/>
          <w:trHeight w:val="1911"/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A78E9" w:rsidRDefault="005A78E9">
            <w:pPr>
              <w:spacing w:before="120"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8E9" w:rsidRDefault="005A78E9">
            <w:pPr>
              <w:spacing w:after="0"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78E9" w:rsidRDefault="00B03C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Giunta della Camera di commercio di A</w:t>
            </w:r>
            <w:r w:rsidR="006078C2">
              <w:rPr>
                <w:rFonts w:cs="Times New Roman"/>
                <w:sz w:val="20"/>
                <w:szCs w:val="20"/>
              </w:rPr>
              <w:t>lessandria</w:t>
            </w:r>
          </w:p>
          <w:p w:rsidR="005A78E9" w:rsidRDefault="005A78E9">
            <w:pPr>
              <w:spacing w:line="276" w:lineRule="auto"/>
              <w:jc w:val="left"/>
              <w:rPr>
                <w:noProof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CiVIT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noProof/>
                <w:sz w:val="20"/>
                <w:szCs w:val="20"/>
              </w:rPr>
              <w:t>Commissione Indipendente per la Valutazione, la Trasparenza e l'Integrità delle amministrazioni pubbliche Autorità nazionale anticorruzione</w:t>
            </w:r>
          </w:p>
          <w:p w:rsidR="005A78E9" w:rsidRDefault="005A78E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Piazza Augusto Imperatore, 32 - 00186 Roma (Rm)</w:t>
            </w:r>
          </w:p>
        </w:tc>
      </w:tr>
      <w:tr w:rsidR="005A78E9" w:rsidTr="005A0815">
        <w:trPr>
          <w:cantSplit/>
          <w:trHeight w:val="1149"/>
          <w:jc w:val="center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E9" w:rsidRPr="00ED6FE0" w:rsidRDefault="005A78E9">
            <w:pPr>
              <w:spacing w:before="120" w:line="3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FE0">
              <w:rPr>
                <w:rFonts w:cs="Times New Roman"/>
                <w:b/>
                <w:bCs/>
                <w:sz w:val="28"/>
                <w:szCs w:val="28"/>
              </w:rPr>
              <w:t xml:space="preserve">Documento di attestazione </w:t>
            </w:r>
          </w:p>
          <w:p w:rsidR="005A78E9" w:rsidRDefault="005A78E9">
            <w:pPr>
              <w:spacing w:before="120" w:line="32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A78E9" w:rsidTr="005A0815">
        <w:trPr>
          <w:cantSplit/>
          <w:trHeight w:val="3306"/>
          <w:jc w:val="center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E9" w:rsidRDefault="005A78E9" w:rsidP="00921DCC">
            <w:pPr>
              <w:pStyle w:val="Paragrafoelenco"/>
              <w:numPr>
                <w:ilvl w:val="0"/>
                <w:numId w:val="1"/>
              </w:num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L’OIV del gruppo associato</w:t>
            </w:r>
            <w:r w:rsidR="0013728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ai sensi dell’art. 14, comma 4, lettera g), del d.lgs. n. 150/2009 e delle successive delibere n. 2/2012 e n. 50/2013</w:t>
            </w:r>
            <w:r w:rsidR="0013728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ha effettuato la propria verifica in merito a quanto svolto dalla Camera di commercio di A</w:t>
            </w:r>
            <w:r w:rsidR="006078C2">
              <w:rPr>
                <w:rFonts w:cs="Times New Roman"/>
                <w:sz w:val="20"/>
                <w:szCs w:val="20"/>
              </w:rPr>
              <w:t xml:space="preserve">lessandria </w:t>
            </w:r>
            <w:r>
              <w:rPr>
                <w:rFonts w:cs="Times New Roman"/>
                <w:sz w:val="20"/>
                <w:szCs w:val="20"/>
              </w:rPr>
              <w:t>per la pubblicazione, l’aggiornamento,  la completezza e l’apertura del formato di ciascun dato ed informazione elencati nell’allegato 1.</w:t>
            </w:r>
          </w:p>
          <w:p w:rsidR="005A78E9" w:rsidRDefault="005A78E9" w:rsidP="00921DCC">
            <w:pPr>
              <w:pStyle w:val="Paragrafoelenco"/>
              <w:numPr>
                <w:ilvl w:val="0"/>
                <w:numId w:val="1"/>
              </w:num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L’OIV ha svolto i propri accertamenti, tenendo anche conto dei risultati e degli elementi emersi dall’attività di controllo sull’assolvimento degli obblighi di pubblicazione svolta dal Responsabile della trasparenza della Camera di commercio di A</w:t>
            </w:r>
            <w:r w:rsidR="006078C2">
              <w:rPr>
                <w:rFonts w:cs="Times New Roman"/>
                <w:sz w:val="20"/>
                <w:szCs w:val="20"/>
              </w:rPr>
              <w:t>lessandria</w:t>
            </w:r>
            <w:r>
              <w:rPr>
                <w:rFonts w:cs="Times New Roman"/>
                <w:sz w:val="20"/>
                <w:szCs w:val="20"/>
              </w:rPr>
              <w:t xml:space="preserve"> ai sensi dell’art. 43, comma 1, del d.lgs. n. 33/2013.</w:t>
            </w:r>
          </w:p>
          <w:p w:rsidR="005A78E9" w:rsidRDefault="005A78E9">
            <w:pPr>
              <w:pStyle w:val="Paragrafoelenco"/>
              <w:spacing w:before="120" w:line="276" w:lineRule="auto"/>
              <w:ind w:left="36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Sulla base di quanto sopra, l’OIV ai sensi dell’art. 14, comma 4, lettera g) del d.lgs. n. 150/2009, </w:t>
            </w:r>
          </w:p>
          <w:p w:rsidR="005A78E9" w:rsidRDefault="005A78E9">
            <w:pPr>
              <w:pStyle w:val="Paragrafoelenco"/>
              <w:spacing w:before="120" w:line="276" w:lineRule="auto"/>
              <w:ind w:left="360" w:firstLine="0"/>
              <w:rPr>
                <w:rFonts w:cs="Times New Roman"/>
                <w:sz w:val="20"/>
                <w:szCs w:val="20"/>
              </w:rPr>
            </w:pPr>
          </w:p>
          <w:p w:rsidR="005A78E9" w:rsidRDefault="005A78E9">
            <w:pPr>
              <w:spacing w:before="12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ATTESTA</w:t>
            </w:r>
          </w:p>
          <w:p w:rsidR="005A78E9" w:rsidRDefault="005A78E9">
            <w:pPr>
              <w:spacing w:before="12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A78E9" w:rsidRDefault="005A78E9" w:rsidP="005A78E9">
            <w:pPr>
              <w:pStyle w:val="Paragrafoelenco"/>
              <w:widowControl/>
              <w:suppressAutoHyphens w:val="0"/>
              <w:spacing w:before="120"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la veridicità e attendibilità di quanto riportato nell’allegato 1 riguardo all’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assolvimento di ciascun obbligo di pubblicazione sul sito web </w:t>
            </w:r>
            <w:r>
              <w:rPr>
                <w:rFonts w:cs="Times New Roman"/>
                <w:sz w:val="20"/>
                <w:szCs w:val="20"/>
              </w:rPr>
              <w:t>della Camera di commercio di A</w:t>
            </w:r>
            <w:r w:rsidR="006078C2">
              <w:rPr>
                <w:rFonts w:cs="Times New Roman"/>
                <w:sz w:val="20"/>
                <w:szCs w:val="20"/>
              </w:rPr>
              <w:t>lessandria</w:t>
            </w:r>
            <w:r>
              <w:rPr>
                <w:rFonts w:cs="Times New Roman"/>
                <w:sz w:val="20"/>
                <w:szCs w:val="20"/>
              </w:rPr>
              <w:t xml:space="preserve"> (in apposita sezione “Amministrazione trasparente”) dei dati previsti dalle leggi vigenti nonché dell’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aggiornamento dei medesimi dati al momento dell’attestazione </w:t>
            </w:r>
            <w:r>
              <w:rPr>
                <w:sz w:val="16"/>
                <w:szCs w:val="16"/>
              </w:rPr>
              <w:footnoteReference w:customMarkFollows="1" w:id="1"/>
              <w:t>*</w:t>
            </w:r>
          </w:p>
          <w:p w:rsidR="005A78E9" w:rsidRDefault="005A78E9">
            <w:pPr>
              <w:pStyle w:val="Paragrafoelenco"/>
              <w:widowControl/>
              <w:suppressAutoHyphens w:val="0"/>
              <w:spacing w:before="120" w:line="276" w:lineRule="auto"/>
              <w:ind w:left="388" w:firstLine="0"/>
              <w:rPr>
                <w:rFonts w:cs="Times New Roman"/>
                <w:sz w:val="20"/>
                <w:szCs w:val="20"/>
              </w:rPr>
            </w:pPr>
          </w:p>
          <w:p w:rsidR="005A78E9" w:rsidRDefault="005A78E9">
            <w:pPr>
              <w:widowControl/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 OIV riporta una sintetica motivazione di quanto attestato:</w:t>
            </w:r>
          </w:p>
          <w:p w:rsidR="005A78E9" w:rsidRPr="005A78E9" w:rsidRDefault="005A78E9" w:rsidP="005A78E9">
            <w:pPr>
              <w:pStyle w:val="Paragrafoelenco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78E9">
              <w:rPr>
                <w:rFonts w:cs="Times New Roman"/>
                <w:sz w:val="20"/>
                <w:szCs w:val="20"/>
              </w:rPr>
              <w:t xml:space="preserve">La griglia di attestazione è coerente con quanto attualmente pubblicato sul sito della Camera di commercio di </w:t>
            </w:r>
            <w:r w:rsidR="00E315DA">
              <w:rPr>
                <w:rFonts w:cs="Times New Roman"/>
                <w:sz w:val="20"/>
                <w:szCs w:val="20"/>
              </w:rPr>
              <w:t>A</w:t>
            </w:r>
            <w:r w:rsidR="006078C2">
              <w:rPr>
                <w:rFonts w:cs="Times New Roman"/>
                <w:sz w:val="20"/>
                <w:szCs w:val="20"/>
              </w:rPr>
              <w:t>lessandria</w:t>
            </w:r>
            <w:r w:rsidRPr="005A78E9">
              <w:rPr>
                <w:rFonts w:cs="Times New Roman"/>
                <w:sz w:val="20"/>
                <w:szCs w:val="20"/>
              </w:rPr>
              <w:t xml:space="preserve">; la verifica è stata effettuata direttamente con il supporto della struttura tecnica e sulla base della verifica effettuata dal responsabile della trasparenza della Camera di commercio. </w:t>
            </w:r>
          </w:p>
          <w:p w:rsidR="005A78E9" w:rsidRDefault="005A78E9" w:rsidP="005A78E9">
            <w:pPr>
              <w:widowControl/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5A78E9" w:rsidRDefault="003A0163" w:rsidP="00E315DA">
            <w:pPr>
              <w:widowControl/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67C9">
              <w:rPr>
                <w:rFonts w:cs="Times New Roman"/>
                <w:sz w:val="20"/>
                <w:szCs w:val="20"/>
              </w:rPr>
              <w:t xml:space="preserve">Il presente documento di attestazione e la griglia che ne costituisce il previsto allegato, come da “Integrazioni e precisazioni relative alla delibera n. 71/2013” comunicate dalla stessa CIVIT in data 25/09/2013, non sono trasmessi alla </w:t>
            </w:r>
            <w:proofErr w:type="spellStart"/>
            <w:r w:rsidRPr="008967C9">
              <w:rPr>
                <w:rFonts w:cs="Times New Roman"/>
                <w:sz w:val="20"/>
                <w:szCs w:val="20"/>
              </w:rPr>
              <w:t>Civit</w:t>
            </w:r>
            <w:proofErr w:type="spellEnd"/>
            <w:r w:rsidRPr="008967C9">
              <w:rPr>
                <w:rFonts w:cs="Times New Roman"/>
                <w:sz w:val="20"/>
                <w:szCs w:val="20"/>
              </w:rPr>
              <w:t xml:space="preserve"> ma solamente pu</w:t>
            </w:r>
            <w:r w:rsidR="005A0815">
              <w:rPr>
                <w:rFonts w:cs="Times New Roman"/>
                <w:sz w:val="20"/>
                <w:szCs w:val="20"/>
              </w:rPr>
              <w:t>bblicati sul sito istituzionale della Camera nell’apposita sezione</w:t>
            </w:r>
          </w:p>
        </w:tc>
      </w:tr>
      <w:tr w:rsidR="005A78E9" w:rsidTr="005A0815">
        <w:trPr>
          <w:cantSplit/>
          <w:trHeight w:hRule="exact" w:val="1667"/>
          <w:jc w:val="center"/>
        </w:trPr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78E9" w:rsidRDefault="005A78E9">
            <w:pPr>
              <w:spacing w:before="120" w:after="0" w:line="3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</w:t>
            </w:r>
            <w:r w:rsidR="00ED6FE0">
              <w:rPr>
                <w:rFonts w:cs="Times New Roman"/>
                <w:sz w:val="20"/>
                <w:szCs w:val="20"/>
              </w:rPr>
              <w:t xml:space="preserve"> 30 settembre 2013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8E9" w:rsidRDefault="005A78E9">
            <w:pPr>
              <w:spacing w:before="120" w:after="0"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Firma </w:t>
            </w:r>
          </w:p>
          <w:p w:rsidR="005A78E9" w:rsidRDefault="005A78E9">
            <w:pPr>
              <w:spacing w:after="240"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>Giuseppe Del Medico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5A78E9" w:rsidRDefault="005A0815" w:rsidP="00B537F9">
            <w:pPr>
              <w:spacing w:before="240" w:after="0"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>d</w:t>
            </w:r>
            <w:r w:rsidRPr="00797E2B">
              <w:rPr>
                <w:rFonts w:cs="Times New Roman"/>
                <w:i/>
                <w:sz w:val="16"/>
                <w:szCs w:val="16"/>
              </w:rPr>
              <w:t xml:space="preserve">ocumento originale firmato digitalmente e conservato a norma negli archivi informatici della Camera di commercio di </w:t>
            </w:r>
            <w:r w:rsidR="00B537F9">
              <w:rPr>
                <w:rFonts w:cs="Times New Roman"/>
                <w:i/>
                <w:sz w:val="16"/>
                <w:szCs w:val="16"/>
              </w:rPr>
              <w:t>Alessandria</w:t>
            </w:r>
            <w:bookmarkStart w:id="0" w:name="_GoBack"/>
            <w:bookmarkEnd w:id="0"/>
          </w:p>
        </w:tc>
      </w:tr>
    </w:tbl>
    <w:p w:rsidR="007C36C2" w:rsidRDefault="007C36C2"/>
    <w:sectPr w:rsidR="007C36C2" w:rsidSect="00ED6FE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3E" w:rsidRDefault="0079003E" w:rsidP="005A78E9">
      <w:pPr>
        <w:spacing w:after="0"/>
      </w:pPr>
      <w:r>
        <w:separator/>
      </w:r>
    </w:p>
  </w:endnote>
  <w:endnote w:type="continuationSeparator" w:id="0">
    <w:p w:rsidR="0079003E" w:rsidRDefault="0079003E" w:rsidP="005A7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3E" w:rsidRDefault="0079003E" w:rsidP="005A78E9">
      <w:pPr>
        <w:spacing w:after="0"/>
      </w:pPr>
      <w:r>
        <w:separator/>
      </w:r>
    </w:p>
  </w:footnote>
  <w:footnote w:type="continuationSeparator" w:id="0">
    <w:p w:rsidR="0079003E" w:rsidRDefault="0079003E" w:rsidP="005A78E9">
      <w:pPr>
        <w:spacing w:after="0"/>
      </w:pPr>
      <w:r>
        <w:continuationSeparator/>
      </w:r>
    </w:p>
  </w:footnote>
  <w:footnote w:id="1">
    <w:p w:rsidR="005A78E9" w:rsidRPr="00E94F34" w:rsidRDefault="005A78E9" w:rsidP="00E94F3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A4"/>
    <w:multiLevelType w:val="hybridMultilevel"/>
    <w:tmpl w:val="CDD62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9"/>
    <w:rsid w:val="000F7354"/>
    <w:rsid w:val="00137285"/>
    <w:rsid w:val="001832DE"/>
    <w:rsid w:val="00190691"/>
    <w:rsid w:val="0026759A"/>
    <w:rsid w:val="00336CD3"/>
    <w:rsid w:val="003A0163"/>
    <w:rsid w:val="00455B45"/>
    <w:rsid w:val="00540B5F"/>
    <w:rsid w:val="005A0815"/>
    <w:rsid w:val="005A78E9"/>
    <w:rsid w:val="006078C2"/>
    <w:rsid w:val="0079003E"/>
    <w:rsid w:val="007C36C2"/>
    <w:rsid w:val="007F7757"/>
    <w:rsid w:val="00840F1A"/>
    <w:rsid w:val="00974B21"/>
    <w:rsid w:val="00B03C0D"/>
    <w:rsid w:val="00B537F9"/>
    <w:rsid w:val="00CE5B02"/>
    <w:rsid w:val="00E315DA"/>
    <w:rsid w:val="00E94F34"/>
    <w:rsid w:val="00ED6FE0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8E9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8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8E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5A78E9"/>
    <w:pPr>
      <w:ind w:left="357" w:hanging="357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A78E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8E9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8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8E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5A78E9"/>
    <w:pPr>
      <w:ind w:left="357" w:hanging="357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A78E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Medico</dc:creator>
  <cp:lastModifiedBy>GDM</cp:lastModifiedBy>
  <cp:revision>5</cp:revision>
  <dcterms:created xsi:type="dcterms:W3CDTF">2013-09-30T14:48:00Z</dcterms:created>
  <dcterms:modified xsi:type="dcterms:W3CDTF">2013-09-30T15:20:00Z</dcterms:modified>
</cp:coreProperties>
</file>